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C22D4">
        <w:rPr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bookmarkEnd w:id="0"/>
    <w:p w:rsidR="00CC22D4" w:rsidRDefault="00CC22D4" w:rsidP="00CC22D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Коммерческим подкупом в статье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CC22D4">
        <w:rPr>
          <w:color w:val="333333"/>
          <w:sz w:val="28"/>
          <w:szCs w:val="28"/>
        </w:rPr>
        <w:t>Уголовно</w:t>
      </w:r>
      <w:proofErr w:type="gramEnd"/>
      <w:r w:rsidRPr="00CC22D4">
        <w:rPr>
          <w:color w:val="333333"/>
          <w:sz w:val="28"/>
          <w:szCs w:val="28"/>
        </w:rPr>
        <w:t>-наказуемыми являются как получение предмета коммерческого подкупа, так и его передача.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 xml:space="preserve">За передачу коммерческого подкупа (части 1-4 статьи 204 УК РФ) предусмотрено максимальное наказание в виде лишения свободы на срок до 8 лет, за получение коммерческого подкупа (части 5-8 статьи 204 УК РФ) – до 12 лет. В санкции статьи приведены и альтернативные виды основного наказания, </w:t>
      </w:r>
      <w:proofErr w:type="gramStart"/>
      <w:r w:rsidRPr="00CC22D4">
        <w:rPr>
          <w:color w:val="333333"/>
          <w:sz w:val="28"/>
          <w:szCs w:val="28"/>
        </w:rPr>
        <w:t>например,  штраф</w:t>
      </w:r>
      <w:proofErr w:type="gramEnd"/>
      <w:r w:rsidRPr="00CC22D4">
        <w:rPr>
          <w:color w:val="333333"/>
          <w:sz w:val="28"/>
          <w:szCs w:val="28"/>
        </w:rPr>
        <w:t xml:space="preserve"> в размере  от 2 до 5 млн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В соответствии с примечанием к статье 204 УК РФ лицо, передавшее 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E7D2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2021-06-02T12:02:00Z</cp:lastPrinted>
  <dcterms:created xsi:type="dcterms:W3CDTF">2021-06-02T12:02:00Z</dcterms:created>
  <dcterms:modified xsi:type="dcterms:W3CDTF">2021-06-02T12:02:00Z</dcterms:modified>
</cp:coreProperties>
</file>